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98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
        <w:gridCol w:w="8732"/>
      </w:tblGrid>
      <w:tr w:rsidR="00810CAB" w:rsidRPr="004D7C13" w:rsidTr="000B40D2">
        <w:trPr>
          <w:trHeight w:val="1134"/>
        </w:trPr>
        <w:tc>
          <w:tcPr>
            <w:tcW w:w="9866" w:type="dxa"/>
            <w:gridSpan w:val="2"/>
          </w:tcPr>
          <w:p w:rsidR="002F5FA7" w:rsidRPr="00160A8A" w:rsidRDefault="00567353" w:rsidP="00DC09E1">
            <w:pPr>
              <w:pStyle w:val="berschrift1"/>
              <w:outlineLvl w:val="0"/>
              <w:rPr>
                <w:lang w:val="en-US"/>
              </w:rPr>
            </w:pPr>
            <w:bookmarkStart w:id="0" w:name="_Hlk25926166"/>
            <w:r>
              <w:rPr>
                <w:lang w:val="en-US"/>
              </w:rPr>
              <w:t>Fighting viral outbreaks</w:t>
            </w:r>
          </w:p>
        </w:tc>
      </w:tr>
      <w:tr w:rsidR="00287C4C" w:rsidRPr="00567353" w:rsidTr="00287C4C">
        <w:trPr>
          <w:trHeight w:val="170"/>
        </w:trPr>
        <w:tc>
          <w:tcPr>
            <w:tcW w:w="9866" w:type="dxa"/>
            <w:gridSpan w:val="2"/>
          </w:tcPr>
          <w:p w:rsidR="00287C4C" w:rsidRPr="00AA6B1E" w:rsidRDefault="00AA6B1E" w:rsidP="00AA6B1E">
            <w:pPr>
              <w:pStyle w:val="berschrift2"/>
              <w:outlineLvl w:val="1"/>
              <w:rPr>
                <w:lang w:val="en-US"/>
              </w:rPr>
            </w:pPr>
            <w:r w:rsidRPr="00AA6B1E">
              <w:rPr>
                <w:lang w:val="en-US"/>
              </w:rPr>
              <w:t>Rapid point-of-care testing using screen-printed electrodes from Metrohm DropSens</w:t>
            </w:r>
          </w:p>
        </w:tc>
      </w:tr>
      <w:tr w:rsidR="00810CAB" w:rsidRPr="00567353" w:rsidTr="00C21696">
        <w:trPr>
          <w:trHeight w:hRule="exact" w:val="454"/>
        </w:trPr>
        <w:tc>
          <w:tcPr>
            <w:tcW w:w="1134" w:type="dxa"/>
            <w:tcBorders>
              <w:top w:val="single" w:sz="18" w:space="0" w:color="008F8B" w:themeColor="accent1"/>
            </w:tcBorders>
          </w:tcPr>
          <w:p w:rsidR="00810CAB" w:rsidRPr="00160A8A" w:rsidRDefault="00810CAB">
            <w:pPr>
              <w:spacing w:line="240" w:lineRule="auto"/>
              <w:rPr>
                <w:lang w:val="en-US"/>
              </w:rPr>
            </w:pPr>
          </w:p>
        </w:tc>
        <w:tc>
          <w:tcPr>
            <w:tcW w:w="8732" w:type="dxa"/>
          </w:tcPr>
          <w:p w:rsidR="00810CAB" w:rsidRPr="00160A8A" w:rsidRDefault="00810CAB">
            <w:pPr>
              <w:rPr>
                <w:lang w:val="en-US"/>
              </w:rPr>
            </w:pPr>
          </w:p>
        </w:tc>
      </w:tr>
    </w:tbl>
    <w:p w:rsidR="00694A2B" w:rsidRPr="00AA6B1E" w:rsidRDefault="00113641" w:rsidP="00F5461B">
      <w:pPr>
        <w:pStyle w:val="METTeaser"/>
        <w:rPr>
          <w:b w:val="0"/>
          <w:lang w:val="en-US"/>
        </w:rPr>
      </w:pPr>
      <w:bookmarkStart w:id="1" w:name="_Hlk25926789"/>
      <w:bookmarkEnd w:id="0"/>
      <w:r w:rsidRPr="00AA6B1E">
        <w:rPr>
          <w:b w:val="0"/>
          <w:lang w:val="en-US"/>
        </w:rPr>
        <w:t>Herisau</w:t>
      </w:r>
      <w:r w:rsidR="002F5FA7" w:rsidRPr="00AA6B1E">
        <w:rPr>
          <w:b w:val="0"/>
          <w:lang w:val="en-US"/>
        </w:rPr>
        <w:t xml:space="preserve">, </w:t>
      </w:r>
      <w:r w:rsidR="00AA6B1E" w:rsidRPr="00AA6B1E">
        <w:rPr>
          <w:b w:val="0"/>
          <w:lang w:val="en-US"/>
        </w:rPr>
        <w:t>25</w:t>
      </w:r>
      <w:r w:rsidR="00243F99" w:rsidRPr="00AA6B1E">
        <w:rPr>
          <w:b w:val="0"/>
          <w:lang w:val="en-US"/>
        </w:rPr>
        <w:t xml:space="preserve"> </w:t>
      </w:r>
      <w:r w:rsidR="00694A2B" w:rsidRPr="00AA6B1E">
        <w:rPr>
          <w:b w:val="0"/>
          <w:lang w:val="en-US"/>
        </w:rPr>
        <w:t>May</w:t>
      </w:r>
      <w:r w:rsidR="002F5FA7" w:rsidRPr="00AA6B1E">
        <w:rPr>
          <w:b w:val="0"/>
          <w:lang w:val="en-US"/>
        </w:rPr>
        <w:t xml:space="preserve"> </w:t>
      </w:r>
      <w:r w:rsidRPr="00AA6B1E">
        <w:rPr>
          <w:b w:val="0"/>
          <w:lang w:val="en-US"/>
        </w:rPr>
        <w:t>2020</w:t>
      </w:r>
      <w:r w:rsidR="002F5FA7">
        <w:rPr>
          <w:lang w:val="en-US"/>
        </w:rPr>
        <w:br/>
      </w:r>
      <w:r w:rsidR="00AA6B1E" w:rsidRPr="006657C6">
        <w:rPr>
          <w:lang w:val="en-US"/>
        </w:rPr>
        <w:t xml:space="preserve">Point-of-care (POC) testing with screen-printed electrodes allows rapid testing of populations for viral outbreaks – at </w:t>
      </w:r>
      <w:r w:rsidR="001028CC">
        <w:rPr>
          <w:lang w:val="en-US"/>
        </w:rPr>
        <w:t>affordable</w:t>
      </w:r>
      <w:r w:rsidR="00AA6B1E" w:rsidRPr="006657C6">
        <w:rPr>
          <w:lang w:val="en-US"/>
        </w:rPr>
        <w:t xml:space="preserve"> costs, </w:t>
      </w:r>
      <w:r w:rsidR="00AA6B1E" w:rsidRPr="001028CC">
        <w:rPr>
          <w:lang w:val="en-US"/>
        </w:rPr>
        <w:t>without the need for trained sp</w:t>
      </w:r>
      <w:r w:rsidR="00AA6B1E" w:rsidRPr="006657C6">
        <w:rPr>
          <w:lang w:val="en-US"/>
        </w:rPr>
        <w:t xml:space="preserve">ecialists and/or complicated equipment. </w:t>
      </w:r>
      <w:hyperlink r:id="rId8" w:history="1">
        <w:r w:rsidR="00AA6B1E" w:rsidRPr="00EA2772">
          <w:rPr>
            <w:rStyle w:val="Hyperlink"/>
            <w:lang w:val="en-US"/>
          </w:rPr>
          <w:t>A free white paper</w:t>
        </w:r>
      </w:hyperlink>
      <w:r w:rsidR="00AA6B1E" w:rsidRPr="006657C6">
        <w:rPr>
          <w:lang w:val="en-US"/>
        </w:rPr>
        <w:t xml:space="preserve"> </w:t>
      </w:r>
      <w:r w:rsidR="00AA6B1E" w:rsidRPr="00EA2772">
        <w:rPr>
          <w:lang w:val="en-US"/>
        </w:rPr>
        <w:t>from</w:t>
      </w:r>
      <w:r w:rsidR="00AA6B1E" w:rsidRPr="006657C6">
        <w:rPr>
          <w:lang w:val="en-US"/>
        </w:rPr>
        <w:t xml:space="preserve"> </w:t>
      </w:r>
      <w:proofErr w:type="spellStart"/>
      <w:r w:rsidR="00AA6B1E" w:rsidRPr="006657C6">
        <w:rPr>
          <w:lang w:val="en-US"/>
        </w:rPr>
        <w:t>Metrohm</w:t>
      </w:r>
      <w:proofErr w:type="spellEnd"/>
      <w:r w:rsidR="00AA6B1E" w:rsidRPr="00EA2772">
        <w:rPr>
          <w:lang w:val="en-US"/>
        </w:rPr>
        <w:t xml:space="preserve"> </w:t>
      </w:r>
      <w:r w:rsidR="00AA6B1E" w:rsidRPr="006657C6">
        <w:rPr>
          <w:lang w:val="en-US"/>
        </w:rPr>
        <w:t>puts a focus on the viability of electrochemical testing citing a number of recent studies on the possibility of POC testing for viruses of various kinds.</w:t>
      </w:r>
      <w:r w:rsidR="00AA6B1E" w:rsidRPr="00EA2772">
        <w:rPr>
          <w:lang w:val="en-US"/>
        </w:rPr>
        <w:t xml:space="preserve"> </w:t>
      </w:r>
      <w:r w:rsidR="00AA6B1E" w:rsidRPr="006657C6">
        <w:rPr>
          <w:lang w:val="en-US"/>
        </w:rPr>
        <w:t>The white paper is of particular value for research groups working on solutions for rapid POC testing in the face of the current Corona pandemic</w:t>
      </w:r>
      <w:r w:rsidR="006657C6" w:rsidRPr="006657C6">
        <w:rPr>
          <w:b w:val="0"/>
          <w:lang w:val="en-US"/>
        </w:rPr>
        <w:t>.</w:t>
      </w:r>
    </w:p>
    <w:tbl>
      <w:tblPr>
        <w:tblStyle w:val="Tabellenraster"/>
        <w:tblW w:w="0" w:type="auto"/>
        <w:tblCellMar>
          <w:left w:w="0" w:type="dxa"/>
          <w:bottom w:w="57" w:type="dxa"/>
          <w:right w:w="227" w:type="dxa"/>
        </w:tblCellMar>
        <w:tblLook w:val="04A0" w:firstRow="1" w:lastRow="0" w:firstColumn="1" w:lastColumn="0" w:noHBand="0" w:noVBand="1"/>
      </w:tblPr>
      <w:tblGrid>
        <w:gridCol w:w="4837"/>
        <w:gridCol w:w="5027"/>
      </w:tblGrid>
      <w:tr w:rsidR="006140C9" w:rsidRPr="00567353" w:rsidTr="00694A2B">
        <w:tc>
          <w:tcPr>
            <w:tcW w:w="4837" w:type="dxa"/>
            <w:tcBorders>
              <w:top w:val="nil"/>
              <w:left w:val="nil"/>
              <w:bottom w:val="nil"/>
              <w:right w:val="nil"/>
            </w:tcBorders>
          </w:tcPr>
          <w:bookmarkEnd w:id="1"/>
          <w:p w:rsidR="00AA6B1E" w:rsidRDefault="000A20A4" w:rsidP="00AA6B1E">
            <w:pPr>
              <w:rPr>
                <w:lang w:val="en-US"/>
              </w:rPr>
            </w:pPr>
            <w:r>
              <w:rPr>
                <w:lang w:val="en-US"/>
              </w:rPr>
              <w:fldChar w:fldCharType="begin"/>
            </w:r>
            <w:r>
              <w:rPr>
                <w:lang w:val="en-US"/>
              </w:rPr>
              <w:instrText xml:space="preserve"> HYPERLINK "https://www.metrohm.com/en/products/electrochemistry/white-paper-electrochemical-testing-in-virus-detection/" </w:instrText>
            </w:r>
            <w:r>
              <w:rPr>
                <w:lang w:val="en-US"/>
              </w:rPr>
            </w:r>
            <w:r>
              <w:rPr>
                <w:lang w:val="en-US"/>
              </w:rPr>
              <w:fldChar w:fldCharType="separate"/>
            </w:r>
            <w:r w:rsidR="00AA6B1E" w:rsidRPr="000A20A4">
              <w:rPr>
                <w:rStyle w:val="Hyperlink"/>
                <w:lang w:val="en-US"/>
              </w:rPr>
              <w:t>The white paper</w:t>
            </w:r>
            <w:r>
              <w:rPr>
                <w:lang w:val="en-US"/>
              </w:rPr>
              <w:fldChar w:fldCharType="end"/>
            </w:r>
            <w:r w:rsidR="00AA6B1E">
              <w:rPr>
                <w:lang w:val="en-US"/>
              </w:rPr>
              <w:t xml:space="preserve"> </w:t>
            </w:r>
            <w:r w:rsidR="00AA6B1E">
              <w:rPr>
                <w:lang w:val="en-US"/>
              </w:rPr>
              <w:t xml:space="preserve">discusses the </w:t>
            </w:r>
            <w:r w:rsidR="006657C6">
              <w:rPr>
                <w:lang w:val="en-US"/>
              </w:rPr>
              <w:t>possibility</w:t>
            </w:r>
            <w:r w:rsidR="00AA6B1E">
              <w:rPr>
                <w:lang w:val="en-US"/>
              </w:rPr>
              <w:t xml:space="preserve"> of rapid, POC testing for viruses of various kinds using cost effective and easy-to-use screen-printed electrodes (SPEs). Compared with other methods such as virus isolation cultures, enzyme-linked immunosorbent assay (ELISA), and other molecular methods (PCR, RT-PCR), electrochemical methods with SPEs promise straightforward, affordable testing at the point of care. </w:t>
            </w:r>
          </w:p>
          <w:p w:rsidR="00A6393E" w:rsidRDefault="00A6393E" w:rsidP="00694A2B">
            <w:pPr>
              <w:rPr>
                <w:lang w:val="en-US"/>
              </w:rPr>
            </w:pPr>
          </w:p>
          <w:p w:rsidR="00AA6B1E" w:rsidRDefault="00AA6B1E" w:rsidP="00AA6B1E">
            <w:pPr>
              <w:rPr>
                <w:lang w:val="en-US"/>
              </w:rPr>
            </w:pPr>
            <w:r>
              <w:rPr>
                <w:lang w:val="en-US"/>
              </w:rPr>
              <w:t xml:space="preserve">Metrohm DropSens </w:t>
            </w:r>
            <w:r w:rsidRPr="008A027B">
              <w:rPr>
                <w:lang w:val="en-US"/>
              </w:rPr>
              <w:t xml:space="preserve">is the world's leading brand for the manufacturing of screen-printed electrodes. </w:t>
            </w:r>
            <w:r>
              <w:rPr>
                <w:lang w:val="en-US"/>
              </w:rPr>
              <w:t>The company is</w:t>
            </w:r>
            <w:r w:rsidRPr="008A027B">
              <w:rPr>
                <w:lang w:val="en-US"/>
              </w:rPr>
              <w:t xml:space="preserve"> certified according to ISO 13485 for the «Manufacturing </w:t>
            </w:r>
            <w:r>
              <w:rPr>
                <w:lang w:val="en-US"/>
              </w:rPr>
              <w:t>of sensors for medical devices» and offers the biggest catalogue in the market regarding materials and designs. Due to their longstanding expertise and large scale manufacturing capabilities</w:t>
            </w:r>
            <w:r w:rsidR="006657C6">
              <w:rPr>
                <w:lang w:val="en-US"/>
              </w:rPr>
              <w:t>,</w:t>
            </w:r>
            <w:r>
              <w:rPr>
                <w:lang w:val="en-US"/>
              </w:rPr>
              <w:t xml:space="preserve"> Metrohm DropSens has been a trusted supplier and partner to the pharmaceutical and other industries.  </w:t>
            </w:r>
          </w:p>
          <w:p w:rsidR="00F5461B" w:rsidRPr="00694A2B" w:rsidRDefault="00F5461B" w:rsidP="00AA6B1E">
            <w:pPr>
              <w:rPr>
                <w:lang w:val="en-US"/>
              </w:rPr>
            </w:pPr>
          </w:p>
        </w:tc>
        <w:tc>
          <w:tcPr>
            <w:tcW w:w="5027" w:type="dxa"/>
            <w:tcBorders>
              <w:top w:val="nil"/>
              <w:left w:val="nil"/>
              <w:bottom w:val="nil"/>
              <w:right w:val="nil"/>
            </w:tcBorders>
            <w:tcMar>
              <w:left w:w="227" w:type="dxa"/>
              <w:right w:w="0" w:type="dxa"/>
            </w:tcMar>
          </w:tcPr>
          <w:p w:rsidR="006140C9" w:rsidRPr="00160A8A" w:rsidRDefault="009A6E79" w:rsidP="002E09AD">
            <w:pPr>
              <w:pStyle w:val="METBildunterschrift"/>
              <w:rPr>
                <w:b/>
                <w:lang w:val="en-US"/>
              </w:rPr>
            </w:pPr>
            <w:r>
              <w:rPr>
                <w:noProof/>
                <w:sz w:val="22"/>
                <w:lang w:val="de-CH" w:eastAsia="de-CH"/>
              </w:rPr>
              <w:drawing>
                <wp:anchor distT="0" distB="0" distL="114300" distR="114300" simplePos="0" relativeHeight="251659264" behindDoc="0" locked="0" layoutInCell="1" allowOverlap="1" wp14:anchorId="648E0358" wp14:editId="2204EB73">
                  <wp:simplePos x="0" y="0"/>
                  <wp:positionH relativeFrom="column">
                    <wp:posOffset>45085</wp:posOffset>
                  </wp:positionH>
                  <wp:positionV relativeFrom="paragraph">
                    <wp:posOffset>5715</wp:posOffset>
                  </wp:positionV>
                  <wp:extent cx="2863850" cy="1910080"/>
                  <wp:effectExtent l="0" t="0" r="0" b="0"/>
                  <wp:wrapThrough wrapText="bothSides">
                    <wp:wrapPolygon edited="0">
                      <wp:start x="0" y="0"/>
                      <wp:lineTo x="0" y="21327"/>
                      <wp:lineTo x="21408" y="21327"/>
                      <wp:lineTo x="21408" y="0"/>
                      <wp:lineTo x="0" y="0"/>
                    </wp:wrapPolygon>
                  </wp:wrapThrough>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elec"/>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863850" cy="19100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57C6">
              <w:rPr>
                <w:lang w:val="en-US"/>
              </w:rPr>
              <w:t xml:space="preserve">Electrochemical methods using SPEs can be a viable </w:t>
            </w:r>
            <w:r w:rsidR="0046341E">
              <w:rPr>
                <w:lang w:val="en-US"/>
              </w:rPr>
              <w:t xml:space="preserve">alternative </w:t>
            </w:r>
            <w:bookmarkStart w:id="2" w:name="_GoBack"/>
            <w:bookmarkEnd w:id="2"/>
            <w:r w:rsidR="006657C6">
              <w:rPr>
                <w:lang w:val="en-US"/>
              </w:rPr>
              <w:t>solution for rapid, straightforward testing for viruses at the point of care</w:t>
            </w:r>
            <w:r w:rsidR="002E09AD">
              <w:rPr>
                <w:lang w:val="en-US"/>
              </w:rPr>
              <w:t xml:space="preserve">. </w:t>
            </w:r>
          </w:p>
        </w:tc>
      </w:tr>
      <w:tr w:rsidR="00F5461B" w:rsidRPr="00567353" w:rsidTr="00694A2B">
        <w:tc>
          <w:tcPr>
            <w:tcW w:w="4837" w:type="dxa"/>
            <w:tcBorders>
              <w:top w:val="nil"/>
              <w:left w:val="nil"/>
              <w:bottom w:val="nil"/>
              <w:right w:val="nil"/>
            </w:tcBorders>
          </w:tcPr>
          <w:p w:rsidR="00F5461B" w:rsidRDefault="00F5461B" w:rsidP="00F5461B">
            <w:pPr>
              <w:rPr>
                <w:lang w:val="en-US"/>
              </w:rPr>
            </w:pPr>
          </w:p>
        </w:tc>
        <w:tc>
          <w:tcPr>
            <w:tcW w:w="5027" w:type="dxa"/>
            <w:tcBorders>
              <w:top w:val="nil"/>
              <w:left w:val="nil"/>
              <w:bottom w:val="nil"/>
              <w:right w:val="nil"/>
            </w:tcBorders>
            <w:tcMar>
              <w:left w:w="227" w:type="dxa"/>
              <w:right w:w="0" w:type="dxa"/>
            </w:tcMar>
          </w:tcPr>
          <w:p w:rsidR="00F5461B" w:rsidRPr="002E09AD" w:rsidRDefault="00F5461B" w:rsidP="00782829">
            <w:pPr>
              <w:pStyle w:val="METBildunterschrift"/>
              <w:rPr>
                <w:noProof/>
                <w:sz w:val="22"/>
                <w:lang w:val="en-US" w:eastAsia="de-CH"/>
              </w:rPr>
            </w:pPr>
          </w:p>
        </w:tc>
      </w:tr>
    </w:tbl>
    <w:p w:rsidR="00823309" w:rsidRPr="00060CFD" w:rsidRDefault="00823309" w:rsidP="000B40D2">
      <w:pPr>
        <w:rPr>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1253"/>
        <w:gridCol w:w="7647"/>
      </w:tblGrid>
      <w:tr w:rsidR="000B40D2" w:rsidTr="00301817">
        <w:tc>
          <w:tcPr>
            <w:tcW w:w="1253" w:type="dxa"/>
          </w:tcPr>
          <w:p w:rsidR="000B40D2" w:rsidRPr="00EA1800" w:rsidRDefault="000B40D2" w:rsidP="00EA1800">
            <w:pPr>
              <w:pStyle w:val="METHervorhebung"/>
              <w:rPr>
                <w:rStyle w:val="Fett"/>
                <w:b/>
              </w:rPr>
            </w:pPr>
            <w:r w:rsidRPr="00EA1800">
              <w:rPr>
                <w:rStyle w:val="Fett"/>
                <w:b/>
              </w:rPr>
              <w:t xml:space="preserve">Weblink: </w:t>
            </w:r>
          </w:p>
        </w:tc>
        <w:tc>
          <w:tcPr>
            <w:tcW w:w="7647" w:type="dxa"/>
          </w:tcPr>
          <w:p w:rsidR="000B40D2" w:rsidRDefault="000B40D2" w:rsidP="00301817">
            <w:pPr>
              <w:rPr>
                <w:rStyle w:val="Fett"/>
              </w:rPr>
            </w:pPr>
            <w:r w:rsidRPr="003B501D">
              <w:rPr>
                <w:lang w:val="en-US"/>
              </w:rPr>
              <w:t>news.metrohm.com</w:t>
            </w:r>
          </w:p>
        </w:tc>
      </w:tr>
      <w:tr w:rsidR="000B40D2" w:rsidRPr="00F13F17" w:rsidTr="00301817">
        <w:tc>
          <w:tcPr>
            <w:tcW w:w="1253" w:type="dxa"/>
          </w:tcPr>
          <w:p w:rsidR="000B40D2" w:rsidRPr="00EA1800" w:rsidRDefault="000B40D2" w:rsidP="00EA1800">
            <w:pPr>
              <w:pStyle w:val="METHervorhebung"/>
              <w:rPr>
                <w:rStyle w:val="Fett"/>
                <w:b/>
              </w:rPr>
            </w:pPr>
            <w:r w:rsidRPr="00EA1800">
              <w:rPr>
                <w:rStyle w:val="Fett"/>
                <w:b/>
              </w:rPr>
              <w:t>Keywords:</w:t>
            </w:r>
          </w:p>
        </w:tc>
        <w:tc>
          <w:tcPr>
            <w:tcW w:w="7647" w:type="dxa"/>
          </w:tcPr>
          <w:p w:rsidR="000B40D2" w:rsidRPr="003B501D" w:rsidRDefault="00AA6B1E" w:rsidP="00301817">
            <w:pPr>
              <w:rPr>
                <w:lang w:val="en-US"/>
              </w:rPr>
            </w:pPr>
            <w:r>
              <w:rPr>
                <w:lang w:val="en-US"/>
              </w:rPr>
              <w:t xml:space="preserve">Virology, Corona, electrochemistry, electrodes, </w:t>
            </w:r>
          </w:p>
        </w:tc>
      </w:tr>
      <w:tr w:rsidR="000B40D2" w:rsidRPr="006356D0" w:rsidTr="00301817">
        <w:tc>
          <w:tcPr>
            <w:tcW w:w="1253" w:type="dxa"/>
          </w:tcPr>
          <w:p w:rsidR="000B40D2" w:rsidRPr="00EA1800" w:rsidRDefault="000B40D2" w:rsidP="00EA1800">
            <w:pPr>
              <w:pStyle w:val="METHervorhebung"/>
              <w:rPr>
                <w:rStyle w:val="Fett"/>
                <w:b/>
              </w:rPr>
            </w:pPr>
            <w:r w:rsidRPr="00EA1800">
              <w:rPr>
                <w:rStyle w:val="Fett"/>
                <w:b/>
              </w:rPr>
              <w:t>Branches:</w:t>
            </w:r>
          </w:p>
        </w:tc>
        <w:tc>
          <w:tcPr>
            <w:tcW w:w="7647" w:type="dxa"/>
          </w:tcPr>
          <w:p w:rsidR="000B40D2" w:rsidRPr="003B501D" w:rsidRDefault="00AA6B1E" w:rsidP="00301817">
            <w:pPr>
              <w:rPr>
                <w:lang w:val="en-US"/>
              </w:rPr>
            </w:pPr>
            <w:r>
              <w:rPr>
                <w:lang w:val="en-GB"/>
              </w:rPr>
              <w:t>Pharma</w:t>
            </w:r>
          </w:p>
        </w:tc>
      </w:tr>
      <w:tr w:rsidR="000B40D2" w:rsidTr="00301817">
        <w:tc>
          <w:tcPr>
            <w:tcW w:w="1253" w:type="dxa"/>
          </w:tcPr>
          <w:p w:rsidR="000B40D2" w:rsidRPr="00EA1800" w:rsidRDefault="000B40D2" w:rsidP="00EA1800">
            <w:pPr>
              <w:pStyle w:val="METHervorhebung"/>
              <w:rPr>
                <w:rStyle w:val="Fett"/>
                <w:b/>
              </w:rPr>
            </w:pPr>
            <w:r w:rsidRPr="00EA1800">
              <w:rPr>
                <w:rStyle w:val="Fett"/>
                <w:b/>
              </w:rPr>
              <w:t>Image:</w:t>
            </w:r>
          </w:p>
        </w:tc>
        <w:tc>
          <w:tcPr>
            <w:tcW w:w="7647" w:type="dxa"/>
          </w:tcPr>
          <w:p w:rsidR="000B40D2" w:rsidRDefault="000B40D2" w:rsidP="009A6E79">
            <w:pPr>
              <w:rPr>
                <w:lang w:val="en-GB"/>
              </w:rPr>
            </w:pPr>
          </w:p>
        </w:tc>
      </w:tr>
    </w:tbl>
    <w:p w:rsidR="00045674" w:rsidRDefault="00045674" w:rsidP="00EA1800">
      <w:pPr>
        <w:pStyle w:val="METHervorhebung"/>
      </w:pPr>
    </w:p>
    <w:p w:rsidR="005A61D6" w:rsidRDefault="005A61D6" w:rsidP="00045674"/>
    <w:p w:rsidR="005A61D6" w:rsidRDefault="005A61D6" w:rsidP="00045674"/>
    <w:p w:rsidR="005A61D6" w:rsidRDefault="005A61D6" w:rsidP="00045674"/>
    <w:p w:rsidR="005A61D6" w:rsidRDefault="005A61D6" w:rsidP="00C21696">
      <w:pPr>
        <w:pStyle w:val="METBildunterschrift"/>
        <w:rPr>
          <w:lang w:val="en-US"/>
        </w:rPr>
      </w:pPr>
      <w:r w:rsidRPr="00160A8A">
        <w:rPr>
          <w:rStyle w:val="METBildunterschriftfett"/>
          <w:lang w:val="en-US"/>
        </w:rPr>
        <w:lastRenderedPageBreak/>
        <w:t>About Metrohm</w:t>
      </w:r>
      <w:r w:rsidRPr="00160A8A">
        <w:rPr>
          <w:rStyle w:val="METBildunterschriftfett"/>
          <w:lang w:val="en-US"/>
        </w:rPr>
        <w:br/>
      </w:r>
      <w:r w:rsidR="00C21696" w:rsidRPr="00C21696">
        <w:rPr>
          <w:lang w:val="en-US"/>
        </w:rPr>
        <w:t>Metrohm is one of the world’s most trusted manufacturers of high-precision instruments for laboratory and process analysis. The company was founded in 1943 by engineer Bertold Suhner in Herisau, Switzerland, where it is headquartered to this day. Metrohm offers a compre</w:t>
      </w:r>
      <w:r w:rsidR="00C21696">
        <w:rPr>
          <w:lang w:val="en-US"/>
        </w:rPr>
        <w:t>-</w:t>
      </w:r>
      <w:r w:rsidR="00C21696" w:rsidRPr="00C21696">
        <w:rPr>
          <w:lang w:val="en-US"/>
        </w:rPr>
        <w:t xml:space="preserve">hensive portfolio of analytical technologies ranging from titration and ion chromatography to near-infrared and Raman spectroscopy, </w:t>
      </w:r>
      <w:r w:rsidR="00160A8A">
        <w:rPr>
          <w:lang w:val="en-US"/>
        </w:rPr>
        <w:t>as well as several other techniques</w:t>
      </w:r>
      <w:r w:rsidR="00C21696" w:rsidRPr="00C21696">
        <w:rPr>
          <w:lang w:val="en-US"/>
        </w:rPr>
        <w:t>. Metrohm sells its products and provides services through its own local subsidiaries and exclusive distribu</w:t>
      </w:r>
      <w:r w:rsidR="00C21696">
        <w:rPr>
          <w:lang w:val="en-US"/>
        </w:rPr>
        <w:t>-</w:t>
      </w:r>
      <w:r w:rsidR="00C21696" w:rsidRPr="00C21696">
        <w:rPr>
          <w:lang w:val="en-US"/>
        </w:rPr>
        <w:t xml:space="preserve">tors in more than 120 countries worldwide. </w:t>
      </w:r>
      <w:r w:rsidR="00160A8A">
        <w:rPr>
          <w:lang w:val="en-US"/>
        </w:rPr>
        <w:t>Our</w:t>
      </w:r>
      <w:r w:rsidR="00C21696" w:rsidRPr="00C21696">
        <w:rPr>
          <w:lang w:val="en-US"/>
        </w:rPr>
        <w:t xml:space="preserve"> mission in a nutshell is helping customers from virtually every industry analyze and maintain the quality of their products at every stage in the manufacturing process and beyond. Since 1982, Metrohm has been owned 100% by the non-profit Metrohm Foundation</w:t>
      </w:r>
      <w:r w:rsidR="00160A8A">
        <w:rPr>
          <w:lang w:val="en-US"/>
        </w:rPr>
        <w:t>.</w:t>
      </w:r>
      <w:r w:rsidR="00C21696" w:rsidRPr="00C21696">
        <w:rPr>
          <w:lang w:val="en-US"/>
        </w:rPr>
        <w:t xml:space="preserve"> </w:t>
      </w:r>
      <w:r w:rsidR="00160A8A">
        <w:rPr>
          <w:lang w:val="en-US"/>
        </w:rPr>
        <w:t>This foundation</w:t>
      </w:r>
      <w:r w:rsidR="00C21696" w:rsidRPr="00C21696">
        <w:rPr>
          <w:lang w:val="en-US"/>
        </w:rPr>
        <w:t xml:space="preserve"> keeps to its purpose to support charitable, philanthropic, and cultural projects in </w:t>
      </w:r>
      <w:r w:rsidR="00160A8A">
        <w:rPr>
          <w:lang w:val="en-US"/>
        </w:rPr>
        <w:t>eastern</w:t>
      </w:r>
      <w:r w:rsidR="00C21696" w:rsidRPr="00C21696">
        <w:rPr>
          <w:lang w:val="en-US"/>
        </w:rPr>
        <w:t xml:space="preserve"> Switzerland and, above all, ensure the independence of the company.</w:t>
      </w:r>
    </w:p>
    <w:p w:rsidR="00EA1800" w:rsidRPr="00160A8A" w:rsidRDefault="00EA1800" w:rsidP="005A61D6">
      <w:pPr>
        <w:rPr>
          <w:rStyle w:val="Fett"/>
          <w:lang w:val="en-US"/>
        </w:rPr>
      </w:pPr>
    </w:p>
    <w:p w:rsidR="005A61D6" w:rsidRPr="00EA1800" w:rsidRDefault="00EA1800" w:rsidP="00EA1800">
      <w:pPr>
        <w:pStyle w:val="METBildunterschrift"/>
        <w:rPr>
          <w:rStyle w:val="METBildunterschriftfett"/>
        </w:rPr>
      </w:pPr>
      <w:r>
        <w:rPr>
          <w:rStyle w:val="METBildunterschriftfett"/>
        </w:rPr>
        <w:t>Contact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227" w:type="dxa"/>
        </w:tblCellMar>
        <w:tblLook w:val="04A0" w:firstRow="1" w:lastRow="0" w:firstColumn="1" w:lastColumn="0" w:noHBand="0" w:noVBand="1"/>
      </w:tblPr>
      <w:tblGrid>
        <w:gridCol w:w="4927"/>
        <w:gridCol w:w="4927"/>
      </w:tblGrid>
      <w:tr w:rsidR="005A61D6" w:rsidTr="00EA1800">
        <w:tc>
          <w:tcPr>
            <w:tcW w:w="4927" w:type="dxa"/>
          </w:tcPr>
          <w:p w:rsidR="00C21696" w:rsidRDefault="00C21696" w:rsidP="00C21696">
            <w:pPr>
              <w:pStyle w:val="METHervorhebung"/>
            </w:pPr>
            <w:r>
              <w:t>Roman Moser</w:t>
            </w:r>
          </w:p>
          <w:p w:rsidR="00C21696" w:rsidRPr="008145F2" w:rsidRDefault="00C21696" w:rsidP="00C21696">
            <w:r>
              <w:t>Marketing Communication</w:t>
            </w:r>
            <w:r w:rsidRPr="00D764A7">
              <w:t xml:space="preserve"> </w:t>
            </w:r>
            <w:r w:rsidRPr="00D764A7">
              <w:br/>
            </w:r>
            <w:r>
              <w:t>Metrohm AG Herisau</w:t>
            </w:r>
          </w:p>
          <w:p w:rsidR="005A61D6" w:rsidRDefault="00C21696" w:rsidP="00C21696">
            <w:pPr>
              <w:rPr>
                <w:rStyle w:val="METBildunterschriftfett"/>
              </w:rPr>
            </w:pPr>
            <w:r>
              <w:t>+</w:t>
            </w:r>
            <w:r w:rsidRPr="005A61D6">
              <w:t xml:space="preserve">41 </w:t>
            </w:r>
            <w:r w:rsidRPr="00C21696">
              <w:t>71 353 86 68</w:t>
            </w:r>
            <w:r w:rsidRPr="00871B32">
              <w:rPr>
                <w:szCs w:val="20"/>
              </w:rPr>
              <w:br/>
            </w:r>
            <w:hyperlink r:id="rId10" w:history="1">
              <w:r w:rsidRPr="00A2605D">
                <w:rPr>
                  <w:rStyle w:val="Hyperlink"/>
                </w:rPr>
                <w:t>roman.moser@metrohm.com</w:t>
              </w:r>
            </w:hyperlink>
          </w:p>
        </w:tc>
        <w:tc>
          <w:tcPr>
            <w:tcW w:w="4927" w:type="dxa"/>
          </w:tcPr>
          <w:p w:rsidR="005A61D6" w:rsidRDefault="005A61D6" w:rsidP="005A61D6">
            <w:pPr>
              <w:rPr>
                <w:rStyle w:val="METBildunterschriftfett"/>
              </w:rPr>
            </w:pPr>
          </w:p>
        </w:tc>
      </w:tr>
    </w:tbl>
    <w:p w:rsidR="00EA1800" w:rsidRDefault="00EA1800" w:rsidP="00A13959">
      <w:pPr>
        <w:spacing w:line="240" w:lineRule="auto"/>
      </w:pPr>
    </w:p>
    <w:p w:rsidR="00A13959" w:rsidRPr="005E4E62" w:rsidRDefault="00A13959" w:rsidP="00A13959">
      <w:pPr>
        <w:spacing w:line="240" w:lineRule="auto"/>
        <w:rPr>
          <w:rFonts w:ascii="Calibri" w:hAnsi="Calibri"/>
        </w:rPr>
      </w:pPr>
      <w:r>
        <w:rPr>
          <w:noProof/>
          <w:lang w:val="de-CH" w:eastAsia="de-CH"/>
        </w:rPr>
        <w:drawing>
          <wp:inline distT="0" distB="0" distL="0" distR="0" wp14:anchorId="65ADB424" wp14:editId="7CD58A95">
            <wp:extent cx="246960" cy="252000"/>
            <wp:effectExtent l="0" t="0" r="1270" b="0"/>
            <wp:docPr id="47" name="Grafik 4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rafik 47">
                      <a:hlinkClick r:id="rId11"/>
                    </pic:cNvPr>
                    <pic:cNvPicPr/>
                  </pic:nvPicPr>
                  <pic:blipFill>
                    <a:blip r:embed="rId12"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svg="http://schemas.microsoft.com/office/drawing/2016/SVG/main" r:embed="rId14"/>
                        </a:ext>
                      </a:extLst>
                    </a:blip>
                    <a:stretch>
                      <a:fillRect/>
                    </a:stretch>
                  </pic:blipFill>
                  <pic:spPr>
                    <a:xfrm>
                      <a:off x="0" y="0"/>
                      <a:ext cx="246960" cy="252000"/>
                    </a:xfrm>
                    <a:prstGeom prst="rect">
                      <a:avLst/>
                    </a:prstGeom>
                  </pic:spPr>
                </pic:pic>
              </a:graphicData>
            </a:graphic>
          </wp:inline>
        </w:drawing>
      </w:r>
      <w:r>
        <w:t xml:space="preserve">    </w:t>
      </w:r>
      <w:hyperlink r:id="rId15" w:history="1"/>
      <w:r w:rsidRPr="00E37AF3">
        <w:rPr>
          <w:rFonts w:ascii="Calibri" w:hAnsi="Calibri"/>
          <w:noProof/>
          <w:lang w:val="de-CH" w:eastAsia="de-CH"/>
        </w:rPr>
        <w:drawing>
          <wp:inline distT="0" distB="0" distL="0" distR="0" wp14:anchorId="062B18F6" wp14:editId="7BE92037">
            <wp:extent cx="252000" cy="252000"/>
            <wp:effectExtent l="0" t="0" r="0" b="0"/>
            <wp:docPr id="10" name="Grafik 1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svg="http://schemas.microsoft.com/office/drawing/2016/SVG/main" r:embed="rId18"/>
                        </a:ext>
                      </a:extLst>
                    </a:blip>
                    <a:stretch>
                      <a:fillRect/>
                    </a:stretch>
                  </pic:blipFill>
                  <pic:spPr bwMode="auto">
                    <a:xfrm>
                      <a:off x="0" y="0"/>
                      <a:ext cx="252000" cy="252000"/>
                    </a:xfrm>
                    <a:prstGeom prst="rect">
                      <a:avLst/>
                    </a:prstGeom>
                  </pic:spPr>
                </pic:pic>
              </a:graphicData>
            </a:graphic>
          </wp:inline>
        </w:drawing>
      </w:r>
      <w:r>
        <w:rPr>
          <w:rFonts w:ascii="Calibri" w:hAnsi="Calibri"/>
        </w:rPr>
        <w:t xml:space="preserve"> </w:t>
      </w:r>
      <w:r w:rsidR="00D24E0B">
        <w:rPr>
          <w:rFonts w:ascii="Calibri" w:hAnsi="Calibri"/>
        </w:rPr>
        <w:t xml:space="preserve">  </w:t>
      </w:r>
      <w:r>
        <w:rPr>
          <w:rFonts w:ascii="Calibri" w:hAnsi="Calibri"/>
        </w:rPr>
        <w:t xml:space="preserve"> </w:t>
      </w:r>
      <w:r w:rsidRPr="00E37AF3">
        <w:rPr>
          <w:noProof/>
          <w:lang w:val="de-CH" w:eastAsia="de-CH"/>
        </w:rPr>
        <w:drawing>
          <wp:inline distT="0" distB="0" distL="0" distR="0" wp14:anchorId="413EBFAF" wp14:editId="5F2B0882">
            <wp:extent cx="257039" cy="252000"/>
            <wp:effectExtent l="0" t="0" r="0" b="0"/>
            <wp:docPr id="25" name="Grafik 2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svg="http://schemas.microsoft.com/office/drawing/2016/SVG/main" r:embed="rId21"/>
                        </a:ext>
                      </a:extLst>
                    </a:blip>
                    <a:stretch>
                      <a:fillRect/>
                    </a:stretch>
                  </pic:blipFill>
                  <pic:spPr bwMode="auto">
                    <a:xfrm>
                      <a:off x="0" y="0"/>
                      <a:ext cx="257039" cy="252000"/>
                    </a:xfrm>
                    <a:prstGeom prst="rect">
                      <a:avLst/>
                    </a:prstGeom>
                  </pic:spPr>
                </pic:pic>
              </a:graphicData>
            </a:graphic>
          </wp:inline>
        </w:drawing>
      </w:r>
      <w:r>
        <w:rPr>
          <w:rFonts w:ascii="Calibri" w:hAnsi="Calibri"/>
        </w:rPr>
        <w:t xml:space="preserve">    </w:t>
      </w:r>
      <w:r w:rsidRPr="00E37AF3">
        <w:rPr>
          <w:rFonts w:ascii="Calibri" w:hAnsi="Calibri"/>
          <w:noProof/>
          <w:lang w:val="de-CH" w:eastAsia="de-CH"/>
        </w:rPr>
        <w:drawing>
          <wp:inline distT="0" distB="0" distL="0" distR="0" wp14:anchorId="55CEB681" wp14:editId="400F21EC">
            <wp:extent cx="231840" cy="252000"/>
            <wp:effectExtent l="0" t="0" r="0" b="0"/>
            <wp:docPr id="26" name="Grafik 26">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6">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svg="http://schemas.microsoft.com/office/drawing/2016/SVG/main" r:embed="rId24"/>
                        </a:ext>
                      </a:extLst>
                    </a:blip>
                    <a:stretch>
                      <a:fillRect/>
                    </a:stretch>
                  </pic:blipFill>
                  <pic:spPr bwMode="auto">
                    <a:xfrm>
                      <a:off x="0" y="0"/>
                      <a:ext cx="231840" cy="252000"/>
                    </a:xfrm>
                    <a:prstGeom prst="rect">
                      <a:avLst/>
                    </a:prstGeom>
                  </pic:spPr>
                </pic:pic>
              </a:graphicData>
            </a:graphic>
          </wp:inline>
        </w:drawing>
      </w:r>
      <w:r>
        <w:rPr>
          <w:rFonts w:ascii="Calibri" w:hAnsi="Calibri"/>
        </w:rPr>
        <w:t xml:space="preserve"> </w:t>
      </w:r>
      <w:r w:rsidR="00D24E0B">
        <w:rPr>
          <w:rFonts w:ascii="Calibri" w:hAnsi="Calibri"/>
        </w:rPr>
        <w:t xml:space="preserve">   </w:t>
      </w:r>
      <w:r>
        <w:rPr>
          <w:rFonts w:ascii="Calibri" w:hAnsi="Calibri"/>
        </w:rPr>
        <w:t xml:space="preserve">   </w:t>
      </w:r>
    </w:p>
    <w:p w:rsidR="005A61D6" w:rsidRDefault="005A61D6" w:rsidP="005A61D6">
      <w:pPr>
        <w:rPr>
          <w:rStyle w:val="METBildunterschriftfett"/>
        </w:rPr>
      </w:pPr>
    </w:p>
    <w:p w:rsidR="00D24E0B" w:rsidRDefault="00D24E0B" w:rsidP="005A61D6">
      <w:pPr>
        <w:rPr>
          <w:rStyle w:val="METBildunterschriftfett"/>
        </w:rPr>
      </w:pPr>
    </w:p>
    <w:p w:rsidR="00D24E0B" w:rsidRDefault="00D24E0B" w:rsidP="005A61D6">
      <w:pPr>
        <w:rPr>
          <w:rStyle w:val="METBildunterschriftfett"/>
        </w:rPr>
      </w:pPr>
    </w:p>
    <w:p w:rsidR="00D24E0B" w:rsidRPr="005A61D6" w:rsidRDefault="00D24E0B" w:rsidP="005A61D6">
      <w:pPr>
        <w:rPr>
          <w:rStyle w:val="METBildunterschriftfett"/>
        </w:rPr>
      </w:pPr>
    </w:p>
    <w:sectPr w:rsidR="00D24E0B" w:rsidRPr="005A61D6" w:rsidSect="00045674">
      <w:headerReference w:type="default" r:id="rId25"/>
      <w:footerReference w:type="default" r:id="rId26"/>
      <w:pgSz w:w="11906" w:h="16838" w:code="9"/>
      <w:pgMar w:top="1191" w:right="1021" w:bottom="454" w:left="1021"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829" w:rsidRDefault="00782829" w:rsidP="00810CAB">
      <w:pPr>
        <w:spacing w:line="240" w:lineRule="auto"/>
      </w:pPr>
      <w:r>
        <w:separator/>
      </w:r>
    </w:p>
  </w:endnote>
  <w:endnote w:type="continuationSeparator" w:id="0">
    <w:p w:rsidR="00782829" w:rsidRDefault="00782829" w:rsidP="00810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ue Frutiger World Light">
    <w:panose1 w:val="020B0403040304020203"/>
    <w:charset w:val="00"/>
    <w:family w:val="swiss"/>
    <w:pitch w:val="variable"/>
    <w:sig w:usb0="A5002EEF" w:usb1="C0000023" w:usb2="00000008" w:usb3="00000000" w:csb0="000101FF" w:csb1="00000000"/>
  </w:font>
  <w:font w:name="Neue Frutiger World">
    <w:panose1 w:val="020B0603040304020203"/>
    <w:charset w:val="00"/>
    <w:family w:val="swiss"/>
    <w:pitch w:val="variable"/>
    <w:sig w:usb0="A5002EEF" w:usb1="C0000023" w:usb2="00000008"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0D2" w:rsidRDefault="000B40D2" w:rsidP="000B40D2">
    <w:pPr>
      <w:pStyle w:val="Fuzeile"/>
    </w:pPr>
  </w:p>
  <w:p w:rsidR="000B40D2" w:rsidRDefault="000B40D2" w:rsidP="000B40D2">
    <w:pPr>
      <w:pStyle w:val="Fuzeile"/>
    </w:pPr>
  </w:p>
  <w:p w:rsidR="000B40D2" w:rsidRDefault="0046341E" w:rsidP="000B40D2">
    <w:pPr>
      <w:pStyle w:val="Fuzeile"/>
    </w:pPr>
    <w:sdt>
      <w:sdtPr>
        <w:id w:val="-1439745461"/>
        <w:docPartObj>
          <w:docPartGallery w:val="Page Numbers (Top of Page)"/>
          <w:docPartUnique/>
        </w:docPartObj>
      </w:sdtPr>
      <w:sdtEndPr/>
      <w:sdtContent>
        <w:r w:rsidR="000B40D2" w:rsidRPr="00560EE9">
          <w:fldChar w:fldCharType="begin"/>
        </w:r>
        <w:r w:rsidR="000B40D2" w:rsidRPr="00560EE9">
          <w:instrText>PAGE</w:instrText>
        </w:r>
        <w:r w:rsidR="000B40D2" w:rsidRPr="00560EE9">
          <w:fldChar w:fldCharType="separate"/>
        </w:r>
        <w:r>
          <w:rPr>
            <w:noProof/>
          </w:rPr>
          <w:t>1</w:t>
        </w:r>
        <w:r w:rsidR="000B40D2" w:rsidRPr="00560EE9">
          <w:fldChar w:fldCharType="end"/>
        </w:r>
        <w:r w:rsidR="000B40D2" w:rsidRPr="00560EE9">
          <w:t xml:space="preserve"> </w:t>
        </w:r>
        <w:r w:rsidR="000B40D2">
          <w:t>/</w:t>
        </w:r>
        <w:r w:rsidR="000B40D2" w:rsidRPr="00560EE9">
          <w:t xml:space="preserve"> </w:t>
        </w:r>
        <w:r w:rsidR="000B40D2" w:rsidRPr="00560EE9">
          <w:fldChar w:fldCharType="begin"/>
        </w:r>
        <w:r w:rsidR="000B40D2" w:rsidRPr="00560EE9">
          <w:instrText>NUMPAGES</w:instrText>
        </w:r>
        <w:r w:rsidR="000B40D2" w:rsidRPr="00560EE9">
          <w:fldChar w:fldCharType="separate"/>
        </w:r>
        <w:r>
          <w:rPr>
            <w:noProof/>
          </w:rPr>
          <w:t>2</w:t>
        </w:r>
        <w:r w:rsidR="000B40D2" w:rsidRPr="00560EE9">
          <w:fldChar w:fldCharType="end"/>
        </w:r>
        <w:r w:rsidR="000B40D2">
          <w:rPr>
            <w:noProof/>
            <w:lang w:val="de-CH" w:eastAsia="de-CH"/>
          </w:rPr>
          <w:drawing>
            <wp:anchor distT="0" distB="0" distL="114300" distR="114300" simplePos="0" relativeHeight="251659264" behindDoc="1" locked="1" layoutInCell="1" allowOverlap="1" wp14:anchorId="40D7548C" wp14:editId="1FD349DD">
              <wp:simplePos x="0" y="0"/>
              <wp:positionH relativeFrom="page">
                <wp:posOffset>5220970</wp:posOffset>
              </wp:positionH>
              <wp:positionV relativeFrom="page">
                <wp:posOffset>10020300</wp:posOffset>
              </wp:positionV>
              <wp:extent cx="1692000" cy="324000"/>
              <wp:effectExtent l="0" t="0" r="381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trohm.png"/>
                      <pic:cNvPicPr/>
                    </pic:nvPicPr>
                    <pic:blipFill>
                      <a:blip r:embed="rId1">
                        <a:extLst>
                          <a:ext uri="{28A0092B-C50C-407E-A947-70E740481C1C}">
                            <a14:useLocalDpi xmlns:a14="http://schemas.microsoft.com/office/drawing/2010/main" val="0"/>
                          </a:ext>
                        </a:extLst>
                      </a:blip>
                      <a:stretch>
                        <a:fillRect/>
                      </a:stretch>
                    </pic:blipFill>
                    <pic:spPr>
                      <a:xfrm>
                        <a:off x="0" y="0"/>
                        <a:ext cx="1692000" cy="324000"/>
                      </a:xfrm>
                      <a:prstGeom prst="rect">
                        <a:avLst/>
                      </a:prstGeom>
                    </pic:spPr>
                  </pic:pic>
                </a:graphicData>
              </a:graphic>
              <wp14:sizeRelH relativeFrom="margin">
                <wp14:pctWidth>0</wp14:pctWidth>
              </wp14:sizeRelH>
              <wp14:sizeRelV relativeFrom="margin">
                <wp14:pctHeight>0</wp14:pctHeight>
              </wp14:sizeRelV>
            </wp:anchor>
          </w:drawing>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829" w:rsidRDefault="00782829" w:rsidP="00810CAB">
      <w:pPr>
        <w:spacing w:line="240" w:lineRule="auto"/>
      </w:pPr>
      <w:r>
        <w:separator/>
      </w:r>
    </w:p>
  </w:footnote>
  <w:footnote w:type="continuationSeparator" w:id="0">
    <w:p w:rsidR="00782829" w:rsidRDefault="00782829" w:rsidP="00810C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CAB" w:rsidRPr="00C21696" w:rsidRDefault="00810CAB" w:rsidP="00122020">
    <w:pPr>
      <w:pStyle w:val="METKopfzeilePR"/>
      <w:rPr>
        <w:bCs/>
        <w:color w:val="008F8B" w:themeColor="accent1"/>
      </w:rPr>
    </w:pPr>
    <w:bookmarkStart w:id="3" w:name="_Hlk25926042"/>
    <w:bookmarkStart w:id="4" w:name="_Hlk25926043"/>
    <w:bookmarkStart w:id="5" w:name="_Hlk25926045"/>
    <w:bookmarkStart w:id="6" w:name="_Hlk25926046"/>
    <w:bookmarkStart w:id="7" w:name="_Hlk25926047"/>
    <w:bookmarkStart w:id="8" w:name="_Hlk25926048"/>
    <w:bookmarkStart w:id="9" w:name="_Hlk25926049"/>
    <w:bookmarkStart w:id="10" w:name="_Hlk25926050"/>
    <w:bookmarkStart w:id="11" w:name="_Hlk25926051"/>
    <w:bookmarkStart w:id="12" w:name="_Hlk25926052"/>
    <w:bookmarkStart w:id="13" w:name="_Hlk25926053"/>
    <w:bookmarkStart w:id="14" w:name="_Hlk25926054"/>
    <w:bookmarkStart w:id="15" w:name="_Hlk25926055"/>
    <w:bookmarkStart w:id="16" w:name="_Hlk25926056"/>
    <w:bookmarkStart w:id="17" w:name="_Hlk25926057"/>
    <w:bookmarkStart w:id="18" w:name="_Hlk25926058"/>
    <w:r w:rsidRPr="00C21696">
      <w:rPr>
        <w:color w:val="008F8B" w:themeColor="accent1"/>
      </w:rPr>
      <w:t>Press Release for immediate publication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D941F4"/>
    <w:multiLevelType w:val="hybridMultilevel"/>
    <w:tmpl w:val="BAFAB220"/>
    <w:lvl w:ilvl="0" w:tplc="97CACBB4">
      <w:start w:val="1"/>
      <w:numFmt w:val="bullet"/>
      <w:pStyle w:val="Listenabsatz"/>
      <w:lvlText w:val="¬"/>
      <w:lvlJc w:val="left"/>
      <w:pPr>
        <w:ind w:left="1440" w:hanging="360"/>
      </w:pPr>
      <w:rPr>
        <w:rFonts w:ascii="Wingdings 3" w:hAnsi="Wingdings 3"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829"/>
    <w:rsid w:val="00045674"/>
    <w:rsid w:val="00060CFD"/>
    <w:rsid w:val="000908C3"/>
    <w:rsid w:val="000A20A4"/>
    <w:rsid w:val="000B40D2"/>
    <w:rsid w:val="000C70E0"/>
    <w:rsid w:val="000F4E4D"/>
    <w:rsid w:val="001028CC"/>
    <w:rsid w:val="00113641"/>
    <w:rsid w:val="001142CE"/>
    <w:rsid w:val="00122020"/>
    <w:rsid w:val="0014413C"/>
    <w:rsid w:val="00160A8A"/>
    <w:rsid w:val="00164517"/>
    <w:rsid w:val="0019126C"/>
    <w:rsid w:val="002343E0"/>
    <w:rsid w:val="00243F99"/>
    <w:rsid w:val="00287C4C"/>
    <w:rsid w:val="002E09AD"/>
    <w:rsid w:val="002F5FA7"/>
    <w:rsid w:val="00311FD9"/>
    <w:rsid w:val="0036403C"/>
    <w:rsid w:val="00366355"/>
    <w:rsid w:val="003B1833"/>
    <w:rsid w:val="004311DE"/>
    <w:rsid w:val="0046341E"/>
    <w:rsid w:val="004B2D77"/>
    <w:rsid w:val="004D7C13"/>
    <w:rsid w:val="00567353"/>
    <w:rsid w:val="005A61D6"/>
    <w:rsid w:val="006140C9"/>
    <w:rsid w:val="00632E50"/>
    <w:rsid w:val="006356D0"/>
    <w:rsid w:val="006657C6"/>
    <w:rsid w:val="00670F7B"/>
    <w:rsid w:val="00694A2B"/>
    <w:rsid w:val="006A5B1A"/>
    <w:rsid w:val="006E24F8"/>
    <w:rsid w:val="00782829"/>
    <w:rsid w:val="007B4ED5"/>
    <w:rsid w:val="007C6A5D"/>
    <w:rsid w:val="007E485B"/>
    <w:rsid w:val="00810CAB"/>
    <w:rsid w:val="00823309"/>
    <w:rsid w:val="00883A34"/>
    <w:rsid w:val="008B6F91"/>
    <w:rsid w:val="008D4C87"/>
    <w:rsid w:val="0090399F"/>
    <w:rsid w:val="00910838"/>
    <w:rsid w:val="00963391"/>
    <w:rsid w:val="00976754"/>
    <w:rsid w:val="009A6E79"/>
    <w:rsid w:val="009C0A46"/>
    <w:rsid w:val="00A13959"/>
    <w:rsid w:val="00A3244D"/>
    <w:rsid w:val="00A57ED4"/>
    <w:rsid w:val="00A6393E"/>
    <w:rsid w:val="00AA6B1E"/>
    <w:rsid w:val="00AD5FCA"/>
    <w:rsid w:val="00B043D7"/>
    <w:rsid w:val="00C21696"/>
    <w:rsid w:val="00C35AE9"/>
    <w:rsid w:val="00D24E0B"/>
    <w:rsid w:val="00DC09E1"/>
    <w:rsid w:val="00EA1800"/>
    <w:rsid w:val="00EA2772"/>
    <w:rsid w:val="00EB756A"/>
    <w:rsid w:val="00F13F17"/>
    <w:rsid w:val="00F179B5"/>
    <w:rsid w:val="00F5461B"/>
    <w:rsid w:val="00F64924"/>
    <w:rsid w:val="00FE04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E43DD37"/>
  <w15:chartTrackingRefBased/>
  <w15:docId w15:val="{966D9C0F-1722-4FAA-A9CA-2DE40CEA2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23309"/>
    <w:pPr>
      <w:spacing w:after="0" w:line="280" w:lineRule="exact"/>
    </w:pPr>
    <w:rPr>
      <w:color w:val="49494A" w:themeColor="text1"/>
      <w:sz w:val="20"/>
    </w:rPr>
  </w:style>
  <w:style w:type="paragraph" w:styleId="berschrift1">
    <w:name w:val="heading 1"/>
    <w:basedOn w:val="Standard"/>
    <w:next w:val="Standard"/>
    <w:link w:val="berschrift1Zchn"/>
    <w:uiPriority w:val="9"/>
    <w:qFormat/>
    <w:rsid w:val="00122020"/>
    <w:pPr>
      <w:keepNext/>
      <w:keepLines/>
      <w:spacing w:after="400" w:line="600" w:lineRule="exact"/>
      <w:outlineLvl w:val="0"/>
    </w:pPr>
    <w:rPr>
      <w:rFonts w:asciiTheme="majorHAnsi" w:eastAsiaTheme="majorEastAsia" w:hAnsiTheme="majorHAnsi" w:cstheme="majorBidi"/>
      <w:sz w:val="48"/>
      <w:szCs w:val="32"/>
    </w:rPr>
  </w:style>
  <w:style w:type="paragraph" w:styleId="berschrift2">
    <w:name w:val="heading 2"/>
    <w:basedOn w:val="Standard"/>
    <w:next w:val="Standard"/>
    <w:link w:val="berschrift2Zchn"/>
    <w:uiPriority w:val="9"/>
    <w:unhideWhenUsed/>
    <w:qFormat/>
    <w:rsid w:val="00122020"/>
    <w:pPr>
      <w:keepNext/>
      <w:keepLines/>
      <w:spacing w:after="400" w:line="430" w:lineRule="exact"/>
      <w:outlineLvl w:val="1"/>
    </w:pPr>
    <w:rPr>
      <w:rFonts w:asciiTheme="majorHAnsi" w:eastAsiaTheme="majorEastAsia" w:hAnsiTheme="majorHAnsi" w:cstheme="majorBidi"/>
      <w:sz w:val="3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0CAB"/>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10CAB"/>
  </w:style>
  <w:style w:type="paragraph" w:styleId="Fuzeile">
    <w:name w:val="footer"/>
    <w:basedOn w:val="Standard"/>
    <w:link w:val="FuzeileZchn"/>
    <w:uiPriority w:val="99"/>
    <w:unhideWhenUsed/>
    <w:rsid w:val="000B40D2"/>
    <w:pPr>
      <w:tabs>
        <w:tab w:val="center" w:pos="4536"/>
        <w:tab w:val="right" w:pos="9072"/>
      </w:tabs>
      <w:spacing w:line="240" w:lineRule="auto"/>
    </w:pPr>
    <w:rPr>
      <w:sz w:val="16"/>
    </w:rPr>
  </w:style>
  <w:style w:type="character" w:customStyle="1" w:styleId="FuzeileZchn">
    <w:name w:val="Fußzeile Zchn"/>
    <w:basedOn w:val="Absatz-Standardschriftart"/>
    <w:link w:val="Fuzeile"/>
    <w:uiPriority w:val="99"/>
    <w:rsid w:val="000B40D2"/>
    <w:rPr>
      <w:rFonts w:ascii="Neue Frutiger World" w:hAnsi="Neue Frutiger World"/>
      <w:color w:val="49494A" w:themeColor="text1"/>
      <w:sz w:val="16"/>
    </w:rPr>
  </w:style>
  <w:style w:type="character" w:customStyle="1" w:styleId="berschrift1Zchn">
    <w:name w:val="Überschrift 1 Zchn"/>
    <w:basedOn w:val="Absatz-Standardschriftart"/>
    <w:link w:val="berschrift1"/>
    <w:uiPriority w:val="9"/>
    <w:rsid w:val="00122020"/>
    <w:rPr>
      <w:rFonts w:asciiTheme="majorHAnsi" w:eastAsiaTheme="majorEastAsia" w:hAnsiTheme="majorHAnsi" w:cstheme="majorBidi"/>
      <w:color w:val="49494A" w:themeColor="text1"/>
      <w:sz w:val="48"/>
      <w:szCs w:val="32"/>
    </w:rPr>
  </w:style>
  <w:style w:type="paragraph" w:styleId="KeinLeerraum">
    <w:name w:val="No Spacing"/>
    <w:uiPriority w:val="1"/>
    <w:qFormat/>
    <w:rsid w:val="00810CAB"/>
    <w:pPr>
      <w:spacing w:after="0" w:line="240" w:lineRule="auto"/>
    </w:pPr>
  </w:style>
  <w:style w:type="table" w:styleId="Tabellenraster">
    <w:name w:val="Table Grid"/>
    <w:basedOn w:val="NormaleTabelle"/>
    <w:uiPriority w:val="39"/>
    <w:rsid w:val="00810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122020"/>
    <w:rPr>
      <w:rFonts w:asciiTheme="majorHAnsi" w:eastAsiaTheme="majorEastAsia" w:hAnsiTheme="majorHAnsi" w:cstheme="majorBidi"/>
      <w:color w:val="49494A" w:themeColor="text1"/>
      <w:sz w:val="36"/>
      <w:szCs w:val="26"/>
    </w:rPr>
  </w:style>
  <w:style w:type="paragraph" w:styleId="Titel">
    <w:name w:val="Title"/>
    <w:basedOn w:val="Standard"/>
    <w:next w:val="Standard"/>
    <w:link w:val="TitelZchn"/>
    <w:uiPriority w:val="10"/>
    <w:rsid w:val="00B043D7"/>
    <w:pPr>
      <w:spacing w:after="400" w:line="600" w:lineRule="exact"/>
      <w:contextualSpacing/>
    </w:pPr>
    <w:rPr>
      <w:rFonts w:asciiTheme="majorHAnsi" w:eastAsiaTheme="majorEastAsia" w:hAnsiTheme="majorHAnsi" w:cstheme="majorBidi"/>
      <w:spacing w:val="20"/>
      <w:kern w:val="28"/>
      <w:sz w:val="48"/>
      <w:szCs w:val="56"/>
    </w:rPr>
  </w:style>
  <w:style w:type="character" w:customStyle="1" w:styleId="TitelZchn">
    <w:name w:val="Titel Zchn"/>
    <w:basedOn w:val="Absatz-Standardschriftart"/>
    <w:link w:val="Titel"/>
    <w:uiPriority w:val="10"/>
    <w:rsid w:val="00B043D7"/>
    <w:rPr>
      <w:rFonts w:asciiTheme="majorHAnsi" w:eastAsiaTheme="majorEastAsia" w:hAnsiTheme="majorHAnsi" w:cstheme="majorBidi"/>
      <w:color w:val="49494A" w:themeColor="text1"/>
      <w:spacing w:val="20"/>
      <w:kern w:val="28"/>
      <w:sz w:val="48"/>
      <w:szCs w:val="56"/>
    </w:rPr>
  </w:style>
  <w:style w:type="character" w:styleId="Fett">
    <w:name w:val="Strong"/>
    <w:basedOn w:val="Absatz-Standardschriftart"/>
    <w:uiPriority w:val="22"/>
    <w:rsid w:val="000B40D2"/>
    <w:rPr>
      <w:rFonts w:ascii="Neue Frutiger World" w:hAnsi="Neue Frutiger World"/>
      <w:b/>
      <w:bCs/>
    </w:rPr>
  </w:style>
  <w:style w:type="paragraph" w:customStyle="1" w:styleId="METTeaser">
    <w:name w:val="MET_Teaser"/>
    <w:basedOn w:val="Standard"/>
    <w:qFormat/>
    <w:rsid w:val="005A61D6"/>
    <w:pPr>
      <w:spacing w:after="400"/>
    </w:pPr>
    <w:rPr>
      <w:rFonts w:ascii="Neue Frutiger World" w:hAnsi="Neue Frutiger World"/>
      <w:b/>
    </w:rPr>
  </w:style>
  <w:style w:type="paragraph" w:styleId="Listenabsatz">
    <w:name w:val="List Paragraph"/>
    <w:basedOn w:val="Standard"/>
    <w:uiPriority w:val="34"/>
    <w:qFormat/>
    <w:rsid w:val="000B40D2"/>
    <w:pPr>
      <w:numPr>
        <w:numId w:val="1"/>
      </w:numPr>
      <w:ind w:left="284" w:hanging="284"/>
      <w:contextualSpacing/>
    </w:pPr>
  </w:style>
  <w:style w:type="paragraph" w:styleId="Sprechblasentext">
    <w:name w:val="Balloon Text"/>
    <w:basedOn w:val="Standard"/>
    <w:link w:val="SprechblasentextZchn"/>
    <w:uiPriority w:val="99"/>
    <w:semiHidden/>
    <w:unhideWhenUsed/>
    <w:rsid w:val="00976754"/>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76754"/>
    <w:rPr>
      <w:rFonts w:ascii="Segoe UI" w:hAnsi="Segoe UI" w:cs="Segoe UI"/>
      <w:color w:val="49494A" w:themeColor="text1"/>
      <w:sz w:val="18"/>
      <w:szCs w:val="18"/>
    </w:rPr>
  </w:style>
  <w:style w:type="paragraph" w:customStyle="1" w:styleId="METKopfzeilePR">
    <w:name w:val="MET_Kopfzeile_PR"/>
    <w:basedOn w:val="berschrift1"/>
    <w:qFormat/>
    <w:rsid w:val="00122020"/>
    <w:pPr>
      <w:spacing w:after="0" w:line="240" w:lineRule="auto"/>
    </w:pPr>
    <w:rPr>
      <w:rFonts w:ascii="Neue Frutiger World" w:hAnsi="Neue Frutiger World" w:cstheme="minorHAnsi"/>
      <w:b/>
      <w:caps/>
      <w:color w:val="61C3D9" w:themeColor="accent3"/>
      <w:sz w:val="20"/>
    </w:rPr>
  </w:style>
  <w:style w:type="character" w:customStyle="1" w:styleId="METBildunterschriftfett">
    <w:name w:val="MET_Bildunterschrift_fett"/>
    <w:basedOn w:val="Absatz-Standardschriftart"/>
    <w:qFormat/>
    <w:rsid w:val="00823309"/>
    <w:rPr>
      <w:rFonts w:ascii="Neue Frutiger World" w:hAnsi="Neue Frutiger World"/>
      <w:b/>
      <w:sz w:val="16"/>
    </w:rPr>
  </w:style>
  <w:style w:type="paragraph" w:customStyle="1" w:styleId="METBildunterschrift">
    <w:name w:val="MET_Bildunterschrift"/>
    <w:basedOn w:val="Standard"/>
    <w:qFormat/>
    <w:rsid w:val="00823309"/>
    <w:pPr>
      <w:pBdr>
        <w:top w:val="single" w:sz="4" w:space="1" w:color="49494A" w:themeColor="text1"/>
      </w:pBdr>
      <w:spacing w:line="240" w:lineRule="auto"/>
    </w:pPr>
    <w:rPr>
      <w:sz w:val="16"/>
    </w:rPr>
  </w:style>
  <w:style w:type="character" w:styleId="Hyperlink">
    <w:name w:val="Hyperlink"/>
    <w:basedOn w:val="Absatz-Standardschriftart"/>
    <w:uiPriority w:val="99"/>
    <w:unhideWhenUsed/>
    <w:rsid w:val="005A61D6"/>
    <w:rPr>
      <w:color w:val="49494A" w:themeColor="hyperlink"/>
      <w:u w:val="single"/>
    </w:rPr>
  </w:style>
  <w:style w:type="character" w:customStyle="1" w:styleId="NichtaufgelsteErwhnung1">
    <w:name w:val="Nicht aufgelöste Erwähnung1"/>
    <w:basedOn w:val="Absatz-Standardschriftart"/>
    <w:uiPriority w:val="99"/>
    <w:semiHidden/>
    <w:unhideWhenUsed/>
    <w:rsid w:val="005A61D6"/>
    <w:rPr>
      <w:color w:val="605E5C"/>
      <w:shd w:val="clear" w:color="auto" w:fill="E1DFDD"/>
    </w:rPr>
  </w:style>
  <w:style w:type="paragraph" w:customStyle="1" w:styleId="METHervorhebung">
    <w:name w:val="MET_Hervorhebung"/>
    <w:basedOn w:val="Standard"/>
    <w:qFormat/>
    <w:rsid w:val="00EA1800"/>
    <w:rPr>
      <w:rFonts w:ascii="Neue Frutiger World" w:hAnsi="Neue Frutiger World"/>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rohm.com/en/products/electrochemistry/white-paper-electrochemical-testing-in-virus-detection/" TargetMode="External"/><Relationship Id="rId18" Type="http://schemas.openxmlformats.org/officeDocument/2006/relationships/image" Target="media/image5.sv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sv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acebook.com/MetrohmGroup/"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trohm.com/" TargetMode="External"/><Relationship Id="rId24" Type="http://schemas.openxmlformats.org/officeDocument/2006/relationships/image" Target="media/image9.svg"/><Relationship Id="rId5" Type="http://schemas.openxmlformats.org/officeDocument/2006/relationships/webSettings" Target="webSettings.xml"/><Relationship Id="rId15" Type="http://schemas.openxmlformats.org/officeDocument/2006/relationships/hyperlink" Target="https://www.facebook.com/SchaefflerDeutschland"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hyperlink" Target="mailto:roman.moser@metrohm.com" TargetMode="External"/><Relationship Id="rId19" Type="http://schemas.openxmlformats.org/officeDocument/2006/relationships/hyperlink" Target="https://www.youtube.com/user/MetrohmTV"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3.svg"/><Relationship Id="rId22" Type="http://schemas.openxmlformats.org/officeDocument/2006/relationships/hyperlink" Target="https://www.linkedin.com/company/metrohmhq/?viewAsMember=true"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a:themeElements>
    <a:clrScheme name="Metrohm_2019_colors">
      <a:dk1>
        <a:srgbClr val="49494A"/>
      </a:dk1>
      <a:lt1>
        <a:srgbClr val="FFFFFF"/>
      </a:lt1>
      <a:dk2>
        <a:srgbClr val="005C7E"/>
      </a:dk2>
      <a:lt2>
        <a:srgbClr val="E6E6E6"/>
      </a:lt2>
      <a:accent1>
        <a:srgbClr val="008F8B"/>
      </a:accent1>
      <a:accent2>
        <a:srgbClr val="666666"/>
      </a:accent2>
      <a:accent3>
        <a:srgbClr val="61C3D9"/>
      </a:accent3>
      <a:accent4>
        <a:srgbClr val="A2C617"/>
      </a:accent4>
      <a:accent5>
        <a:srgbClr val="F2BF00"/>
      </a:accent5>
      <a:accent6>
        <a:srgbClr val="EC6608"/>
      </a:accent6>
      <a:hlink>
        <a:srgbClr val="49494A"/>
      </a:hlink>
      <a:folHlink>
        <a:srgbClr val="B1B1B1"/>
      </a:folHlink>
    </a:clrScheme>
    <a:fontScheme name="Metrohm_2019_fonts">
      <a:majorFont>
        <a:latin typeface="Neue Frutiger World Light"/>
        <a:ea typeface=""/>
        <a:cs typeface=""/>
      </a:majorFont>
      <a:minorFont>
        <a:latin typeface="Neue Frutiger World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5AAEA-6C86-443B-86AD-8EE418EB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2902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Moser, Roman</dc:creator>
  <cp:keywords/>
  <dc:description/>
  <cp:lastModifiedBy>Moser, Roman</cp:lastModifiedBy>
  <cp:revision>6</cp:revision>
  <cp:lastPrinted>2020-05-27T08:14:00Z</cp:lastPrinted>
  <dcterms:created xsi:type="dcterms:W3CDTF">2020-05-27T07:33:00Z</dcterms:created>
  <dcterms:modified xsi:type="dcterms:W3CDTF">2020-05-27T08:16:00Z</dcterms:modified>
</cp:coreProperties>
</file>